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B89" w:rsidRPr="00BC2B89" w:rsidRDefault="00BC2B89" w:rsidP="00BC2B89">
      <w:pPr>
        <w:rPr>
          <w:rFonts w:ascii="標楷體" w:eastAsia="標楷體" w:hAnsi="標楷體"/>
          <w:szCs w:val="24"/>
        </w:rPr>
      </w:pPr>
      <w:r w:rsidRPr="00BC2B89">
        <w:rPr>
          <w:rFonts w:ascii="標楷體" w:eastAsia="標楷體" w:hAnsi="標楷體" w:hint="eastAsia"/>
          <w:szCs w:val="24"/>
        </w:rPr>
        <w:t>附件6</w:t>
      </w:r>
    </w:p>
    <w:p w:rsidR="00BC2B89" w:rsidRPr="00BC2B89" w:rsidRDefault="00BC2B89" w:rsidP="00BC2B89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花蓮縣秀林鄉秀林國民小學</w:t>
      </w:r>
      <w:r w:rsidRPr="00BC2B89">
        <w:rPr>
          <w:rFonts w:ascii="標楷體" w:eastAsia="標楷體" w:hAnsi="標楷體" w:hint="eastAsia"/>
          <w:szCs w:val="24"/>
        </w:rPr>
        <w:t>防制校園</w:t>
      </w:r>
      <w:proofErr w:type="gramStart"/>
      <w:r w:rsidRPr="00BC2B89">
        <w:rPr>
          <w:rFonts w:ascii="標楷體" w:eastAsia="標楷體" w:hAnsi="標楷體" w:hint="eastAsia"/>
          <w:szCs w:val="24"/>
        </w:rPr>
        <w:t>霸凌具體</w:t>
      </w:r>
      <w:proofErr w:type="gramEnd"/>
      <w:r w:rsidRPr="00BC2B89">
        <w:rPr>
          <w:rFonts w:ascii="標楷體" w:eastAsia="標楷體" w:hAnsi="標楷體" w:hint="eastAsia"/>
          <w:szCs w:val="24"/>
        </w:rPr>
        <w:t>分工措施表</w:t>
      </w:r>
    </w:p>
    <w:tbl>
      <w:tblPr>
        <w:tblW w:w="9600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040"/>
        <w:gridCol w:w="1824"/>
        <w:gridCol w:w="12"/>
        <w:gridCol w:w="2004"/>
      </w:tblGrid>
      <w:tr w:rsidR="008F1DDD" w:rsidRPr="00BC2B89" w:rsidTr="008F1DDD">
        <w:trPr>
          <w:trHeight w:val="760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BC2B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執行要項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BC2B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主辦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Pr="00BC2B89" w:rsidRDefault="008F1DDD" w:rsidP="00BC2B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協辦</w:t>
            </w:r>
          </w:p>
        </w:tc>
      </w:tr>
      <w:tr w:rsidR="008F1DDD" w:rsidRPr="00BC2B89" w:rsidTr="008F1DDD">
        <w:trPr>
          <w:trHeight w:val="150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BC2B89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一級預防(教育宣導)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BC2B89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將學生法治教育、品德教育、人權教育、生命教育、性別平等教育、資訊倫理教育及偏差行為防制、被害預防宣導融入社會及綜合領域課程，並利用朝會、週會、授課等時機進行宣導與機會教育。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BC2B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Pr="00BC2B89" w:rsidRDefault="008F1DDD" w:rsidP="00BC2B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各科教師</w:t>
            </w:r>
          </w:p>
        </w:tc>
      </w:tr>
      <w:tr w:rsidR="008F1DDD" w:rsidRPr="00BC2B89" w:rsidTr="008F1DDD">
        <w:trPr>
          <w:trHeight w:val="14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DD" w:rsidRPr="00BC2B89" w:rsidRDefault="008F1DDD" w:rsidP="00BC2B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BC2B89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結合民間、公益團體、社區及校內社團，在週會時辦理多元活潑教育宣導活動，深化學生法治教育、品德教育、人權教育、生命教育、性別平等教育、資訊倫理教育及偏差行為防制、被害預防宣導。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BC2B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Pr="00BC2B89" w:rsidRDefault="008F1DDD" w:rsidP="00BC2B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教導主任</w:t>
            </w:r>
          </w:p>
        </w:tc>
      </w:tr>
      <w:tr w:rsidR="008F1DDD" w:rsidRPr="00BC2B89" w:rsidTr="008F1DDD">
        <w:trPr>
          <w:trHeight w:val="10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DD" w:rsidRPr="00BC2B89" w:rsidRDefault="008F1DDD" w:rsidP="00BC2B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BC2B89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辦理教師法治、品德、人權及生命教育相關研習，增強教師知能。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BC2B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Pr="00BC2B89" w:rsidRDefault="008F1DDD" w:rsidP="00BC2B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教導主任</w:t>
            </w:r>
          </w:p>
        </w:tc>
      </w:tr>
      <w:tr w:rsidR="008F1DDD" w:rsidRPr="00BC2B89" w:rsidTr="008F1DDD">
        <w:trPr>
          <w:trHeight w:val="12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DD" w:rsidRPr="00BC2B89" w:rsidRDefault="008F1DDD" w:rsidP="00BC2B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BC2B89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運用各類校園防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制霸凌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案例教材及法律彙編等書籍加強本校師生了解相關法規與法律責任。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BC2B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Pr="00BC2B89" w:rsidRDefault="008F1DDD" w:rsidP="00BC2B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各班導師</w:t>
            </w:r>
          </w:p>
        </w:tc>
      </w:tr>
      <w:tr w:rsidR="008F1DDD" w:rsidRPr="00BC2B89" w:rsidTr="008F1DDD">
        <w:trPr>
          <w:trHeight w:val="1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DD" w:rsidRPr="00BC2B89" w:rsidRDefault="008F1DDD" w:rsidP="00BC2B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BC2B89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每學期結合各項研習、會議等時機，實施防制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校園霸凌專題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報告，強化教育人員防制校園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霸凌知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能。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BC2B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Pr="00BC2B89" w:rsidRDefault="008F1DDD" w:rsidP="00BC2B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教導主任</w:t>
            </w:r>
          </w:p>
        </w:tc>
      </w:tr>
      <w:tr w:rsidR="008F1DDD" w:rsidRPr="00BC2B89" w:rsidTr="008F1DDD">
        <w:trPr>
          <w:trHeight w:val="13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每學期第一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推動友善校園宣導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，並規劃辦理相關系列活動。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Pr="00BC2B89" w:rsidRDefault="008F1DDD" w:rsidP="008F1D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各班導師</w:t>
            </w:r>
          </w:p>
        </w:tc>
      </w:tr>
      <w:tr w:rsidR="008F1DDD" w:rsidRPr="00BC2B89" w:rsidTr="008F1DDD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成立防制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校園霸凌因應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小組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Pr="00BC2B89" w:rsidRDefault="008F1DDD" w:rsidP="008F1D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教導主任</w:t>
            </w:r>
          </w:p>
        </w:tc>
      </w:tr>
      <w:tr w:rsidR="008F1DDD" w:rsidRPr="00BC2B89" w:rsidTr="008F1DDD">
        <w:trPr>
          <w:trHeight w:val="16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繪製校園安全死角地圖、透過社區力量與愛心商店並成立「維護校園安全家長工作坊」，共同確保學生校內、外安全。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Pr="00BC2B89" w:rsidRDefault="008F1DDD" w:rsidP="008F1D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</w:tr>
      <w:tr w:rsidR="008F1DDD" w:rsidRPr="00BC2B89" w:rsidTr="008F1DDD">
        <w:trPr>
          <w:trHeight w:val="14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設立網路巡守隊，從同學部落格找出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可能霸凌的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蛛絲馬跡，以期能及早發現、阻止。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Pr="00BC2B89" w:rsidRDefault="008F1DDD" w:rsidP="008F1D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各班導師</w:t>
            </w:r>
          </w:p>
        </w:tc>
      </w:tr>
      <w:tr w:rsidR="008F1DDD" w:rsidRPr="00BC2B89" w:rsidTr="008F1DDD">
        <w:trPr>
          <w:trHeight w:val="293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lastRenderedPageBreak/>
              <w:t>二級預防(發現處置)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透過教育部(0800-200885)24小時免付費投訴電話、嘉義市督學申訴專線(05-2224741)、校外會反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校園霸凌專線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(05-2752525)、本校24小時學生服務專線(05-2239913)，受理反映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校園霸凌事件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，並立即由專人專責列管處理。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Default="008F1DDD" w:rsidP="008F1DDD">
            <w:pPr>
              <w:jc w:val="center"/>
            </w:pPr>
            <w:r w:rsidRPr="00FD32CD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FD32CD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FD32CD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Default="008F1DDD" w:rsidP="008F1DDD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各班導師</w:t>
            </w:r>
          </w:p>
        </w:tc>
      </w:tr>
      <w:tr w:rsidR="008F1DDD" w:rsidRPr="00BC2B89" w:rsidTr="008F1DDD">
        <w:trPr>
          <w:trHeight w:val="29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配合國民及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學前教育署每學期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之抽測作業，在督學及校外會共同督導下完成辦理不記名校園生活問卷調查，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每年級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抽測2班，發現個案即由防制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校園霸凌因應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小組進行調查並加強輔導作為；完成問卷後，管制在規定期限前將施測統計資料呈報施測單位。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Default="008F1DDD" w:rsidP="008F1DDD">
            <w:pPr>
              <w:jc w:val="center"/>
            </w:pPr>
            <w:r w:rsidRPr="00FD32CD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FD32CD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FD32CD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Default="008F1DDD" w:rsidP="008F1DDD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各班導師</w:t>
            </w:r>
          </w:p>
        </w:tc>
      </w:tr>
      <w:tr w:rsidR="008F1DDD" w:rsidRPr="00BC2B89" w:rsidTr="008F1DDD">
        <w:trPr>
          <w:trHeight w:val="17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每年4月及10月各辦理乙次記名及不記名「校園生活問卷」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普測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，並追蹤問卷反映個案，詳予輔導。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Default="008F1DDD" w:rsidP="008F1DDD">
            <w:pPr>
              <w:jc w:val="center"/>
            </w:pPr>
            <w:r w:rsidRPr="00FD32CD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FD32CD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FD32CD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Default="008F1DDD" w:rsidP="008F1DDD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</w:tr>
      <w:tr w:rsidR="008F1DDD" w:rsidRPr="00BC2B89" w:rsidTr="008F1DDD">
        <w:trPr>
          <w:trHeight w:val="16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設置防制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校園霸凌投訴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信箱並運用學校網頁，提供學生及家長投訴、宣導相關訊息及法規(令)，遇有投訴，統一責由專人處置及輔導。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Default="008F1DDD" w:rsidP="008F1DDD">
            <w:pPr>
              <w:jc w:val="center"/>
            </w:pPr>
            <w:r w:rsidRPr="00FD32CD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FD32CD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FD32CD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Default="008F1DDD" w:rsidP="008F1DDD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</w:tr>
      <w:tr w:rsidR="008F1DDD" w:rsidRPr="00BC2B89" w:rsidTr="008F1DDD">
        <w:trPr>
          <w:trHeight w:val="28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發現疑似「校園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霸凌」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行為時，立即列冊追蹤輔導，並依規定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通報校安系統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Default="008F1DDD" w:rsidP="008F1DDD">
            <w:pPr>
              <w:jc w:val="center"/>
            </w:pPr>
            <w:r w:rsidRPr="00FD32CD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FD32CD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FD32CD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Default="008F1DDD" w:rsidP="008F1DDD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</w:tr>
      <w:tr w:rsidR="008F1DDD" w:rsidRPr="00BC2B89" w:rsidTr="008F1DDD">
        <w:trPr>
          <w:trHeight w:val="12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學輔人員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、教官、教師知悉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校園霸凌個案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時，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均應立即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主動聯繫學生家長。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Default="008F1DDD" w:rsidP="008F1DDD">
            <w:pPr>
              <w:jc w:val="center"/>
            </w:pPr>
            <w:r w:rsidRPr="00FD32CD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FD32CD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FD32CD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Default="008F1DDD" w:rsidP="008F1DDD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各班導師</w:t>
            </w:r>
          </w:p>
        </w:tc>
      </w:tr>
      <w:tr w:rsidR="008F1DDD" w:rsidRPr="00BC2B89" w:rsidTr="008F1DDD">
        <w:trPr>
          <w:trHeight w:val="160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lastRenderedPageBreak/>
              <w:t>三級預防(介入輔導)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在學校網頁與公佈欄公告各縣市政府應設置法律諮詢專線，提供本校教師相關法律專業事務諮詢管道。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Pr="00BC2B89" w:rsidRDefault="008F1DDD" w:rsidP="008F1D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</w:t>
            </w:r>
          </w:p>
        </w:tc>
      </w:tr>
      <w:tr w:rsidR="008F1DDD" w:rsidRPr="00BC2B89" w:rsidTr="008F1DDD">
        <w:trPr>
          <w:trHeight w:val="44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學生疑似發生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校園霸凌個案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，經防制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校園霸凌因應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小組會議確認，符合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校園霸凌要件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，除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依校安通報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系統通報外，並即成立輔導小組，成員包括導師、學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人員、輔導人員、家長或視個案需要請專業輔導人員、性平委員、校外會或少年隊等加強輔導，輔導小組應就當事人及其他關係人擬訂輔導計畫，明列懲處建議或校園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霸凌防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制準則第14條規定之必要處置、輔導內容、分工、期程等，並將紀錄留校備查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Pr="00BC2B89" w:rsidRDefault="008F1DDD" w:rsidP="008F1D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</w:tr>
      <w:tr w:rsidR="008F1DDD" w:rsidRPr="00BC2B89" w:rsidTr="008F1DDD">
        <w:trPr>
          <w:trHeight w:val="16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若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校園霸凌行為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屬情節嚴重之個案，應立即通報警政及社政單位協處，或向司法機關請求協助。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Pr="00BC2B89" w:rsidRDefault="008F1DDD" w:rsidP="008F1D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教導主任</w:t>
            </w:r>
          </w:p>
        </w:tc>
      </w:tr>
      <w:tr w:rsidR="008F1DDD" w:rsidRPr="00BC2B89" w:rsidTr="008F1DDD">
        <w:trPr>
          <w:trHeight w:val="45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經輔導評估後，對於仍無法改變偏差行為之學生，得於徵求家長同意轉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專業諮商輔導或醫療機構實施矯正與輔導；輔導小組仍持續關懷並與該專業諮商輔導或醫療機構保持聯繫，定期追蹤輔導情形，必要時得洽請司法機關協處</w:t>
            </w:r>
            <w:proofErr w:type="gramStart"/>
            <w:r w:rsidRPr="00BC2B89">
              <w:rPr>
                <w:rFonts w:ascii="標楷體" w:eastAsia="標楷體" w:hAnsi="標楷體" w:hint="eastAsia"/>
                <w:szCs w:val="24"/>
              </w:rPr>
              <w:t>及請社政</w:t>
            </w:r>
            <w:proofErr w:type="gramEnd"/>
            <w:r w:rsidRPr="00BC2B89">
              <w:rPr>
                <w:rFonts w:ascii="標楷體" w:eastAsia="標楷體" w:hAnsi="標楷體" w:hint="eastAsia"/>
                <w:szCs w:val="24"/>
              </w:rPr>
              <w:t>機構協助輔導或安置。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1DDD" w:rsidRPr="00BC2B89" w:rsidRDefault="008F1DDD" w:rsidP="008F1D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2B89"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DDD" w:rsidRPr="00BC2B89" w:rsidRDefault="008F1DDD" w:rsidP="008F1D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學務組長</w:t>
            </w:r>
            <w:bookmarkStart w:id="0" w:name="_GoBack"/>
            <w:bookmarkEnd w:id="0"/>
          </w:p>
        </w:tc>
      </w:tr>
    </w:tbl>
    <w:p w:rsidR="00BC2B89" w:rsidRPr="00BC2B89" w:rsidRDefault="00BC2B89" w:rsidP="00BC2B89">
      <w:pPr>
        <w:rPr>
          <w:rFonts w:ascii="標楷體" w:eastAsia="標楷體" w:hAnsi="標楷體"/>
          <w:szCs w:val="24"/>
        </w:rPr>
      </w:pPr>
      <w:r w:rsidRPr="00BC2B89">
        <w:rPr>
          <w:rFonts w:ascii="標楷體" w:eastAsia="標楷體" w:hAnsi="標楷體"/>
          <w:szCs w:val="24"/>
        </w:rPr>
        <w:t> </w:t>
      </w:r>
    </w:p>
    <w:p w:rsidR="00631329" w:rsidRPr="00BC2B89" w:rsidRDefault="00631329" w:rsidP="00BC2B89">
      <w:pPr>
        <w:rPr>
          <w:rFonts w:ascii="標楷體" w:eastAsia="標楷體" w:hAnsi="標楷體"/>
          <w:szCs w:val="24"/>
        </w:rPr>
      </w:pPr>
    </w:p>
    <w:sectPr w:rsidR="00631329" w:rsidRPr="00BC2B89" w:rsidSect="001D0C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8FF" w:rsidRDefault="006F48FF" w:rsidP="008F1DDD">
      <w:r>
        <w:separator/>
      </w:r>
    </w:p>
  </w:endnote>
  <w:endnote w:type="continuationSeparator" w:id="0">
    <w:p w:rsidR="006F48FF" w:rsidRDefault="006F48FF" w:rsidP="008F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8FF" w:rsidRDefault="006F48FF" w:rsidP="008F1DDD">
      <w:r>
        <w:separator/>
      </w:r>
    </w:p>
  </w:footnote>
  <w:footnote w:type="continuationSeparator" w:id="0">
    <w:p w:rsidR="006F48FF" w:rsidRDefault="006F48FF" w:rsidP="008F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9"/>
    <w:rsid w:val="001D0CDE"/>
    <w:rsid w:val="00631329"/>
    <w:rsid w:val="006F48FF"/>
    <w:rsid w:val="008F1DDD"/>
    <w:rsid w:val="00B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C271C"/>
  <w15:chartTrackingRefBased/>
  <w15:docId w15:val="{8988CC3E-7B78-4901-B43E-FACA72C7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1D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1D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2021-08-06T05:29:00Z</dcterms:created>
  <dcterms:modified xsi:type="dcterms:W3CDTF">2021-08-06T05:42:00Z</dcterms:modified>
</cp:coreProperties>
</file>